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940CD">
      <w:pPr>
        <w:jc w:val="left"/>
        <w:rPr>
          <w:rFonts w:hint="default" w:ascii="仿宋" w:hAnsi="仿宋" w:eastAsia="仿宋" w:cs="仿宋"/>
          <w:b w:val="0"/>
          <w:bCs w:val="0"/>
          <w:i w:val="0"/>
          <w:iCs w:val="0"/>
          <w:caps w:val="0"/>
          <w:color w:val="000000"/>
          <w:spacing w:val="0"/>
          <w:kern w:val="0"/>
          <w:sz w:val="30"/>
          <w:szCs w:val="30"/>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30"/>
          <w:szCs w:val="30"/>
          <w:shd w:val="clear" w:fill="FFFFFF"/>
          <w:vertAlign w:val="baseline"/>
          <w:lang w:val="en-US" w:eastAsia="zh-CN" w:bidi="ar"/>
        </w:rPr>
        <w:t>附件</w:t>
      </w:r>
    </w:p>
    <w:p w14:paraId="0B7C9D1D">
      <w:pPr>
        <w:jc w:val="center"/>
        <w:rPr>
          <w:rFonts w:hint="eastAsia" w:ascii="方正小标宋_GBK" w:hAnsi="方正小标宋_GBK" w:eastAsia="方正小标宋_GBK" w:cs="方正小标宋_GBK"/>
          <w:b w:val="0"/>
          <w:bCs w:val="0"/>
          <w:i w:val="0"/>
          <w:iCs w:val="0"/>
          <w:caps w:val="0"/>
          <w:color w:val="000000"/>
          <w:spacing w:val="0"/>
          <w:kern w:val="0"/>
          <w:sz w:val="32"/>
          <w:szCs w:val="32"/>
          <w:shd w:val="clear" w:fill="FFFFFF"/>
          <w:vertAlign w:val="baseline"/>
          <w:lang w:val="en-US" w:eastAsia="zh-CN" w:bidi="ar"/>
        </w:rPr>
      </w:pPr>
      <w:r>
        <w:rPr>
          <w:rFonts w:hint="eastAsia" w:ascii="方正小标宋_GBK" w:hAnsi="方正小标宋_GBK" w:eastAsia="方正小标宋_GBK" w:cs="方正小标宋_GBK"/>
          <w:b w:val="0"/>
          <w:bCs w:val="0"/>
          <w:i w:val="0"/>
          <w:iCs w:val="0"/>
          <w:caps w:val="0"/>
          <w:color w:val="000000"/>
          <w:spacing w:val="0"/>
          <w:kern w:val="0"/>
          <w:sz w:val="32"/>
          <w:szCs w:val="32"/>
          <w:shd w:val="clear" w:fill="FFFFFF"/>
          <w:vertAlign w:val="baseline"/>
          <w:lang w:val="en-US" w:eastAsia="zh-CN" w:bidi="ar"/>
        </w:rPr>
        <w:t>2025年度江苏省抗癌协会专项科研基金“肿瘤影像攀登项目”拟立项项目名单</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3393"/>
        <w:gridCol w:w="2393"/>
        <w:gridCol w:w="1087"/>
        <w:gridCol w:w="1373"/>
      </w:tblGrid>
      <w:tr w14:paraId="051B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16CC68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bCs/>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bCs/>
                <w:i w:val="0"/>
                <w:iCs w:val="0"/>
                <w:caps w:val="0"/>
                <w:color w:val="000000"/>
                <w:spacing w:val="0"/>
                <w:kern w:val="0"/>
                <w:sz w:val="28"/>
                <w:szCs w:val="28"/>
                <w:shd w:val="clear" w:fill="FFFFFF"/>
                <w:vertAlign w:val="baseline"/>
                <w:lang w:val="en-US" w:eastAsia="zh-CN" w:bidi="ar"/>
              </w:rPr>
              <w:t>序号</w:t>
            </w:r>
          </w:p>
        </w:tc>
        <w:tc>
          <w:tcPr>
            <w:tcW w:w="1873" w:type="pct"/>
            <w:vAlign w:val="center"/>
          </w:tcPr>
          <w:p w14:paraId="720C17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bCs/>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bCs/>
                <w:i w:val="0"/>
                <w:iCs w:val="0"/>
                <w:caps w:val="0"/>
                <w:color w:val="000000"/>
                <w:spacing w:val="0"/>
                <w:kern w:val="0"/>
                <w:sz w:val="28"/>
                <w:szCs w:val="28"/>
                <w:shd w:val="clear" w:fill="FFFFFF"/>
                <w:vertAlign w:val="baseline"/>
                <w:lang w:val="en-US" w:eastAsia="zh-CN" w:bidi="ar"/>
              </w:rPr>
              <w:t>项目名称</w:t>
            </w:r>
          </w:p>
        </w:tc>
        <w:tc>
          <w:tcPr>
            <w:tcW w:w="1321" w:type="pct"/>
            <w:vAlign w:val="center"/>
          </w:tcPr>
          <w:p w14:paraId="2FF67E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bCs/>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bCs/>
                <w:i w:val="0"/>
                <w:iCs w:val="0"/>
                <w:caps w:val="0"/>
                <w:color w:val="000000"/>
                <w:spacing w:val="0"/>
                <w:kern w:val="0"/>
                <w:sz w:val="28"/>
                <w:szCs w:val="28"/>
                <w:shd w:val="clear" w:fill="FFFFFF"/>
                <w:vertAlign w:val="baseline"/>
                <w:lang w:val="en-US" w:eastAsia="zh-CN" w:bidi="ar"/>
              </w:rPr>
              <w:t>申报单位</w:t>
            </w:r>
          </w:p>
        </w:tc>
        <w:tc>
          <w:tcPr>
            <w:tcW w:w="600" w:type="pct"/>
            <w:vAlign w:val="center"/>
          </w:tcPr>
          <w:p w14:paraId="0DEFF9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bCs/>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bCs/>
                <w:i w:val="0"/>
                <w:iCs w:val="0"/>
                <w:caps w:val="0"/>
                <w:color w:val="000000"/>
                <w:spacing w:val="0"/>
                <w:kern w:val="0"/>
                <w:sz w:val="28"/>
                <w:szCs w:val="28"/>
                <w:shd w:val="clear" w:fill="FFFFFF"/>
                <w:vertAlign w:val="baseline"/>
                <w:lang w:val="en-US" w:eastAsia="zh-CN" w:bidi="ar"/>
              </w:rPr>
              <w:t>负责人</w:t>
            </w:r>
          </w:p>
        </w:tc>
        <w:tc>
          <w:tcPr>
            <w:tcW w:w="758" w:type="pct"/>
            <w:vAlign w:val="center"/>
          </w:tcPr>
          <w:p w14:paraId="07A5D9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bCs/>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bCs/>
                <w:i w:val="0"/>
                <w:iCs w:val="0"/>
                <w:caps w:val="0"/>
                <w:color w:val="000000"/>
                <w:spacing w:val="0"/>
                <w:kern w:val="0"/>
                <w:sz w:val="28"/>
                <w:szCs w:val="28"/>
                <w:shd w:val="clear" w:fill="FFFFFF"/>
                <w:vertAlign w:val="baseline"/>
                <w:lang w:val="en-US" w:eastAsia="zh-CN" w:bidi="ar"/>
              </w:rPr>
              <w:t>项目类型</w:t>
            </w:r>
          </w:p>
        </w:tc>
      </w:tr>
      <w:tr w14:paraId="09CD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D35BB2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w:t>
            </w:r>
          </w:p>
        </w:tc>
        <w:tc>
          <w:tcPr>
            <w:tcW w:w="1873" w:type="pct"/>
            <w:vAlign w:val="center"/>
          </w:tcPr>
          <w:p w14:paraId="3726E19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基于人工智能的CT时空异质性预测非小细胞肺癌免疫化学治疗响应的多中心研究</w:t>
            </w:r>
          </w:p>
        </w:tc>
        <w:tc>
          <w:tcPr>
            <w:tcW w:w="1321" w:type="pct"/>
            <w:vAlign w:val="center"/>
          </w:tcPr>
          <w:p w14:paraId="49F1AF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无锡市人民医院</w:t>
            </w:r>
          </w:p>
        </w:tc>
        <w:tc>
          <w:tcPr>
            <w:tcW w:w="600" w:type="pct"/>
            <w:vAlign w:val="center"/>
          </w:tcPr>
          <w:p w14:paraId="1ECE0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胡晓云</w:t>
            </w:r>
          </w:p>
        </w:tc>
        <w:tc>
          <w:tcPr>
            <w:tcW w:w="758" w:type="pct"/>
            <w:vAlign w:val="center"/>
          </w:tcPr>
          <w:p w14:paraId="47865FE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重点项目</w:t>
            </w:r>
          </w:p>
        </w:tc>
      </w:tr>
      <w:tr w14:paraId="45C0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043FB7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2</w:t>
            </w:r>
          </w:p>
        </w:tc>
        <w:tc>
          <w:tcPr>
            <w:tcW w:w="1873" w:type="pct"/>
            <w:vAlign w:val="center"/>
          </w:tcPr>
          <w:p w14:paraId="042CD48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基于能量CT定量参数的诺模图在预测NSCLC肿瘤内三级淋巴结构的价值探索</w:t>
            </w:r>
          </w:p>
        </w:tc>
        <w:tc>
          <w:tcPr>
            <w:tcW w:w="1321" w:type="pct"/>
            <w:vAlign w:val="center"/>
          </w:tcPr>
          <w:p w14:paraId="451097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江苏省肿瘤医院</w:t>
            </w:r>
          </w:p>
        </w:tc>
        <w:tc>
          <w:tcPr>
            <w:tcW w:w="600" w:type="pct"/>
            <w:vAlign w:val="center"/>
          </w:tcPr>
          <w:p w14:paraId="4F7F65B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谢晓东</w:t>
            </w:r>
          </w:p>
        </w:tc>
        <w:tc>
          <w:tcPr>
            <w:tcW w:w="758" w:type="pct"/>
            <w:vAlign w:val="center"/>
          </w:tcPr>
          <w:p w14:paraId="790CE5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重点项目</w:t>
            </w:r>
          </w:p>
        </w:tc>
      </w:tr>
      <w:tr w14:paraId="4F50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10B4EB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3</w:t>
            </w:r>
          </w:p>
        </w:tc>
        <w:tc>
          <w:tcPr>
            <w:tcW w:w="1873" w:type="pct"/>
            <w:vAlign w:val="center"/>
          </w:tcPr>
          <w:p w14:paraId="19A147E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基于多模态MRI与人工智能的肌层浸润性膀胱癌新辅助免疫治疗疗效预测及生物学机制研究</w:t>
            </w:r>
          </w:p>
        </w:tc>
        <w:tc>
          <w:tcPr>
            <w:tcW w:w="1321" w:type="pct"/>
            <w:vAlign w:val="center"/>
          </w:tcPr>
          <w:p w14:paraId="6AE8CE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南京鼓楼医院</w:t>
            </w:r>
          </w:p>
        </w:tc>
        <w:tc>
          <w:tcPr>
            <w:tcW w:w="600" w:type="pct"/>
            <w:vAlign w:val="center"/>
          </w:tcPr>
          <w:p w14:paraId="0C4CE6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李丹燕</w:t>
            </w:r>
          </w:p>
        </w:tc>
        <w:tc>
          <w:tcPr>
            <w:tcW w:w="758" w:type="pct"/>
            <w:vAlign w:val="center"/>
          </w:tcPr>
          <w:p w14:paraId="0761E37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面上项目</w:t>
            </w:r>
          </w:p>
        </w:tc>
      </w:tr>
      <w:tr w14:paraId="6AD7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B8DC5D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4</w:t>
            </w:r>
          </w:p>
        </w:tc>
        <w:tc>
          <w:tcPr>
            <w:tcW w:w="1873" w:type="pct"/>
            <w:vAlign w:val="center"/>
          </w:tcPr>
          <w:p w14:paraId="4C68135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口腔癌影像组学与病理组学的跨尺度关联机制及融合预测模型研究</w:t>
            </w:r>
          </w:p>
        </w:tc>
        <w:tc>
          <w:tcPr>
            <w:tcW w:w="1321" w:type="pct"/>
            <w:vAlign w:val="center"/>
          </w:tcPr>
          <w:p w14:paraId="69B179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南京同仁医院</w:t>
            </w:r>
          </w:p>
        </w:tc>
        <w:tc>
          <w:tcPr>
            <w:tcW w:w="600" w:type="pct"/>
            <w:vAlign w:val="center"/>
          </w:tcPr>
          <w:p w14:paraId="6D5326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车子刚</w:t>
            </w:r>
          </w:p>
        </w:tc>
        <w:tc>
          <w:tcPr>
            <w:tcW w:w="758" w:type="pct"/>
            <w:vAlign w:val="center"/>
          </w:tcPr>
          <w:p w14:paraId="51A2C6F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面上项目</w:t>
            </w:r>
          </w:p>
        </w:tc>
      </w:tr>
      <w:tr w14:paraId="7767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1E01F4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5</w:t>
            </w:r>
          </w:p>
        </w:tc>
        <w:tc>
          <w:tcPr>
            <w:tcW w:w="1873" w:type="pct"/>
            <w:vAlign w:val="center"/>
          </w:tcPr>
          <w:p w14:paraId="605162C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光子CT多参数成像在结直肠癌术前精准分期中的优化与应用研究</w:t>
            </w:r>
          </w:p>
        </w:tc>
        <w:tc>
          <w:tcPr>
            <w:tcW w:w="1321" w:type="pct"/>
            <w:vAlign w:val="center"/>
          </w:tcPr>
          <w:p w14:paraId="29EE1C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江南大学</w:t>
            </w:r>
          </w:p>
          <w:p w14:paraId="41006F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附属医院</w:t>
            </w:r>
          </w:p>
        </w:tc>
        <w:tc>
          <w:tcPr>
            <w:tcW w:w="600" w:type="pct"/>
            <w:vAlign w:val="center"/>
          </w:tcPr>
          <w:p w14:paraId="186CB8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张衡</w:t>
            </w:r>
          </w:p>
        </w:tc>
        <w:tc>
          <w:tcPr>
            <w:tcW w:w="758" w:type="pct"/>
            <w:vAlign w:val="center"/>
          </w:tcPr>
          <w:p w14:paraId="79CBF66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面上项目</w:t>
            </w:r>
          </w:p>
        </w:tc>
      </w:tr>
      <w:tr w14:paraId="1694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40E0CE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6</w:t>
            </w:r>
          </w:p>
        </w:tc>
        <w:tc>
          <w:tcPr>
            <w:tcW w:w="1873" w:type="pct"/>
            <w:vAlign w:val="center"/>
          </w:tcPr>
          <w:p w14:paraId="6E6B76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人工智能在进展期食管鳞癌新辅助化疗联合免疫治疗疗效评估及生存分析中的应用</w:t>
            </w:r>
          </w:p>
        </w:tc>
        <w:tc>
          <w:tcPr>
            <w:tcW w:w="1321" w:type="pct"/>
            <w:vAlign w:val="center"/>
          </w:tcPr>
          <w:p w14:paraId="27142F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淮安市第一医院</w:t>
            </w:r>
          </w:p>
        </w:tc>
        <w:tc>
          <w:tcPr>
            <w:tcW w:w="600" w:type="pct"/>
            <w:vAlign w:val="center"/>
          </w:tcPr>
          <w:p w14:paraId="611BB8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朱艳</w:t>
            </w:r>
          </w:p>
        </w:tc>
        <w:tc>
          <w:tcPr>
            <w:tcW w:w="758" w:type="pct"/>
            <w:vAlign w:val="center"/>
          </w:tcPr>
          <w:p w14:paraId="0D8B85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面上项目</w:t>
            </w:r>
          </w:p>
        </w:tc>
      </w:tr>
      <w:tr w14:paraId="08FB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ADF4BC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7</w:t>
            </w:r>
          </w:p>
        </w:tc>
        <w:tc>
          <w:tcPr>
            <w:tcW w:w="1873" w:type="pct"/>
            <w:vAlign w:val="center"/>
          </w:tcPr>
          <w:p w14:paraId="35BECCC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MR时间依赖弥散成像联合生境分析对肝癌侵袭性的术前预测</w:t>
            </w:r>
          </w:p>
        </w:tc>
        <w:tc>
          <w:tcPr>
            <w:tcW w:w="1321" w:type="pct"/>
            <w:vAlign w:val="center"/>
          </w:tcPr>
          <w:p w14:paraId="6EA871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苏北人民医院</w:t>
            </w:r>
          </w:p>
        </w:tc>
        <w:tc>
          <w:tcPr>
            <w:tcW w:w="600" w:type="pct"/>
            <w:vAlign w:val="center"/>
          </w:tcPr>
          <w:p w14:paraId="2BF895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罗先富</w:t>
            </w:r>
          </w:p>
        </w:tc>
        <w:tc>
          <w:tcPr>
            <w:tcW w:w="758" w:type="pct"/>
            <w:vAlign w:val="center"/>
          </w:tcPr>
          <w:p w14:paraId="4E2802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面上项目</w:t>
            </w:r>
          </w:p>
        </w:tc>
      </w:tr>
      <w:tr w14:paraId="20A5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44C4D14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8</w:t>
            </w:r>
          </w:p>
        </w:tc>
        <w:tc>
          <w:tcPr>
            <w:tcW w:w="1873" w:type="pct"/>
            <w:vAlign w:val="center"/>
          </w:tcPr>
          <w:p w14:paraId="52516F5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基于无对比剂高分辨率CMRA、全自动质控模型及老年肿瘤患者术前心血管风险评估体系构建</w:t>
            </w:r>
          </w:p>
        </w:tc>
        <w:tc>
          <w:tcPr>
            <w:tcW w:w="1321" w:type="pct"/>
            <w:vAlign w:val="center"/>
          </w:tcPr>
          <w:p w14:paraId="7B849CF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江苏省省级机关医院</w:t>
            </w:r>
          </w:p>
        </w:tc>
        <w:tc>
          <w:tcPr>
            <w:tcW w:w="600" w:type="pct"/>
            <w:vAlign w:val="center"/>
          </w:tcPr>
          <w:p w14:paraId="32C038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江月</w:t>
            </w:r>
          </w:p>
        </w:tc>
        <w:tc>
          <w:tcPr>
            <w:tcW w:w="758" w:type="pct"/>
            <w:vAlign w:val="center"/>
          </w:tcPr>
          <w:p w14:paraId="7CB5AA9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面上项目</w:t>
            </w:r>
          </w:p>
        </w:tc>
      </w:tr>
      <w:tr w14:paraId="246D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5369DFC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9</w:t>
            </w:r>
          </w:p>
        </w:tc>
        <w:tc>
          <w:tcPr>
            <w:tcW w:w="1873" w:type="pct"/>
            <w:vAlign w:val="center"/>
          </w:tcPr>
          <w:p w14:paraId="06F01048">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肝细胞癌术后辅助性经动脉化疗栓塞治疗获益亚群的识别：基于治疗效果异质性的“肿瘤－肝脏”影像学研究</w:t>
            </w:r>
          </w:p>
        </w:tc>
        <w:tc>
          <w:tcPr>
            <w:tcW w:w="1321" w:type="pct"/>
            <w:vAlign w:val="center"/>
          </w:tcPr>
          <w:p w14:paraId="49485B5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东南大学附属</w:t>
            </w:r>
          </w:p>
          <w:p w14:paraId="702096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中大医院</w:t>
            </w:r>
          </w:p>
        </w:tc>
        <w:tc>
          <w:tcPr>
            <w:tcW w:w="600" w:type="pct"/>
            <w:vAlign w:val="center"/>
          </w:tcPr>
          <w:p w14:paraId="79163C5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查俊豪</w:t>
            </w:r>
          </w:p>
        </w:tc>
        <w:tc>
          <w:tcPr>
            <w:tcW w:w="758" w:type="pct"/>
            <w:vAlign w:val="center"/>
          </w:tcPr>
          <w:p w14:paraId="42E2E9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1F95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0DE27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10</w:t>
            </w:r>
          </w:p>
        </w:tc>
        <w:tc>
          <w:tcPr>
            <w:tcW w:w="1873" w:type="pct"/>
            <w:vAlign w:val="center"/>
          </w:tcPr>
          <w:p w14:paraId="4001857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基于多模态影像的非小细胞肺癌新辅助治疗疗效预测与预后评估研究</w:t>
            </w:r>
          </w:p>
        </w:tc>
        <w:tc>
          <w:tcPr>
            <w:tcW w:w="1321" w:type="pct"/>
            <w:vAlign w:val="center"/>
          </w:tcPr>
          <w:p w14:paraId="5C045C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江苏省肿瘤医院</w:t>
            </w:r>
          </w:p>
        </w:tc>
        <w:tc>
          <w:tcPr>
            <w:tcW w:w="600" w:type="pct"/>
            <w:vAlign w:val="center"/>
          </w:tcPr>
          <w:p w14:paraId="1C1E05A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夏聪</w:t>
            </w:r>
          </w:p>
        </w:tc>
        <w:tc>
          <w:tcPr>
            <w:tcW w:w="758" w:type="pct"/>
            <w:vAlign w:val="center"/>
          </w:tcPr>
          <w:p w14:paraId="1E1B27E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62ED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A196C8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11</w:t>
            </w:r>
          </w:p>
        </w:tc>
        <w:tc>
          <w:tcPr>
            <w:tcW w:w="1873" w:type="pct"/>
            <w:vAlign w:val="center"/>
          </w:tcPr>
          <w:p w14:paraId="7832714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整合双能CT影像组学及病理组学多尺度特征预测甲状腺乳头状癌复发风险的研究</w:t>
            </w:r>
          </w:p>
        </w:tc>
        <w:tc>
          <w:tcPr>
            <w:tcW w:w="1321" w:type="pct"/>
            <w:vAlign w:val="center"/>
          </w:tcPr>
          <w:p w14:paraId="68D7E4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江苏省人民医院</w:t>
            </w:r>
          </w:p>
        </w:tc>
        <w:tc>
          <w:tcPr>
            <w:tcW w:w="600" w:type="pct"/>
            <w:vAlign w:val="center"/>
          </w:tcPr>
          <w:p w14:paraId="134BDCF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周燕</w:t>
            </w:r>
          </w:p>
        </w:tc>
        <w:tc>
          <w:tcPr>
            <w:tcW w:w="758" w:type="pct"/>
            <w:vAlign w:val="center"/>
          </w:tcPr>
          <w:p w14:paraId="0D00D7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79306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4A834D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12</w:t>
            </w:r>
          </w:p>
        </w:tc>
        <w:tc>
          <w:tcPr>
            <w:tcW w:w="1873" w:type="pct"/>
            <w:vAlign w:val="center"/>
          </w:tcPr>
          <w:p w14:paraId="13CA38E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基于Bp-MRI及人工智能的前列腺癌术前包膜外侵犯预测研究：瘤内一瘤周双区域特征联合分析</w:t>
            </w:r>
          </w:p>
        </w:tc>
        <w:tc>
          <w:tcPr>
            <w:tcW w:w="1321" w:type="pct"/>
            <w:vAlign w:val="center"/>
          </w:tcPr>
          <w:p w14:paraId="02A28C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苏州大学附属</w:t>
            </w:r>
          </w:p>
          <w:p w14:paraId="6E4076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第二医院</w:t>
            </w:r>
          </w:p>
        </w:tc>
        <w:tc>
          <w:tcPr>
            <w:tcW w:w="600" w:type="pct"/>
            <w:vAlign w:val="center"/>
          </w:tcPr>
          <w:p w14:paraId="0E73FCD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张跃跃</w:t>
            </w:r>
          </w:p>
        </w:tc>
        <w:tc>
          <w:tcPr>
            <w:tcW w:w="758" w:type="pct"/>
            <w:vAlign w:val="center"/>
          </w:tcPr>
          <w:p w14:paraId="6570A3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68EA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59DCD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13</w:t>
            </w:r>
          </w:p>
        </w:tc>
        <w:tc>
          <w:tcPr>
            <w:tcW w:w="1873" w:type="pct"/>
            <w:vAlign w:val="center"/>
          </w:tcPr>
          <w:p w14:paraId="21F8006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4D-Flow成像技术联合DTI-ALPS指数对鼻咽癌患者放疗后认知障碍的诊断效能及预测模型的构建</w:t>
            </w:r>
          </w:p>
        </w:tc>
        <w:tc>
          <w:tcPr>
            <w:tcW w:w="1321" w:type="pct"/>
            <w:vAlign w:val="center"/>
          </w:tcPr>
          <w:p w14:paraId="5F65555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连云港市第一</w:t>
            </w:r>
          </w:p>
          <w:p w14:paraId="11E85A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人民医院</w:t>
            </w:r>
          </w:p>
        </w:tc>
        <w:tc>
          <w:tcPr>
            <w:tcW w:w="600" w:type="pct"/>
            <w:vAlign w:val="center"/>
          </w:tcPr>
          <w:p w14:paraId="72FE196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赵艺楠</w:t>
            </w:r>
          </w:p>
        </w:tc>
        <w:tc>
          <w:tcPr>
            <w:tcW w:w="758" w:type="pct"/>
            <w:vAlign w:val="center"/>
          </w:tcPr>
          <w:p w14:paraId="25D29F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5871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B4261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14</w:t>
            </w:r>
          </w:p>
        </w:tc>
        <w:tc>
          <w:tcPr>
            <w:tcW w:w="1873" w:type="pct"/>
            <w:vAlign w:val="center"/>
          </w:tcPr>
          <w:p w14:paraId="6E238E4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基于多模态脑网络的胶质瘤脑重塑机制与预后预测研究</w:t>
            </w:r>
          </w:p>
        </w:tc>
        <w:tc>
          <w:tcPr>
            <w:tcW w:w="1321" w:type="pct"/>
            <w:vAlign w:val="center"/>
          </w:tcPr>
          <w:p w14:paraId="738B01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南通大学附属</w:t>
            </w:r>
          </w:p>
          <w:p w14:paraId="71E2FB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医院</w:t>
            </w:r>
          </w:p>
        </w:tc>
        <w:tc>
          <w:tcPr>
            <w:tcW w:w="600" w:type="pct"/>
            <w:vAlign w:val="center"/>
          </w:tcPr>
          <w:p w14:paraId="3E6FE23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胡月</w:t>
            </w:r>
          </w:p>
        </w:tc>
        <w:tc>
          <w:tcPr>
            <w:tcW w:w="758" w:type="pct"/>
            <w:vAlign w:val="center"/>
          </w:tcPr>
          <w:p w14:paraId="26E7E0A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09A1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667EB6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15</w:t>
            </w:r>
          </w:p>
        </w:tc>
        <w:tc>
          <w:tcPr>
            <w:tcW w:w="1873" w:type="pct"/>
            <w:vAlign w:val="center"/>
          </w:tcPr>
          <w:p w14:paraId="148E711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双能CT组学特征联合能谱定量参数预测胃癌术后复发及化疗获益</w:t>
            </w:r>
          </w:p>
        </w:tc>
        <w:tc>
          <w:tcPr>
            <w:tcW w:w="1321" w:type="pct"/>
            <w:vAlign w:val="center"/>
          </w:tcPr>
          <w:p w14:paraId="02FA26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南通市肿瘤医院</w:t>
            </w:r>
          </w:p>
        </w:tc>
        <w:tc>
          <w:tcPr>
            <w:tcW w:w="600" w:type="pct"/>
            <w:vAlign w:val="center"/>
          </w:tcPr>
          <w:p w14:paraId="32EF22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朱政锜</w:t>
            </w:r>
          </w:p>
        </w:tc>
        <w:tc>
          <w:tcPr>
            <w:tcW w:w="758" w:type="pct"/>
            <w:vAlign w:val="center"/>
          </w:tcPr>
          <w:p w14:paraId="608353A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668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95DF6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16</w:t>
            </w:r>
          </w:p>
        </w:tc>
        <w:tc>
          <w:tcPr>
            <w:tcW w:w="1873" w:type="pct"/>
            <w:vAlign w:val="center"/>
          </w:tcPr>
          <w:p w14:paraId="0DFE644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基于双能CT定量参数联合影像组学术前预测结直肠癌微卫星不稳定状态的研究</w:t>
            </w:r>
          </w:p>
        </w:tc>
        <w:tc>
          <w:tcPr>
            <w:tcW w:w="1321" w:type="pct"/>
            <w:vAlign w:val="center"/>
          </w:tcPr>
          <w:p w14:paraId="43C37F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苏州市立医院</w:t>
            </w:r>
          </w:p>
        </w:tc>
        <w:tc>
          <w:tcPr>
            <w:tcW w:w="600" w:type="pct"/>
            <w:vAlign w:val="center"/>
          </w:tcPr>
          <w:p w14:paraId="58C7D2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孙琦</w:t>
            </w:r>
          </w:p>
        </w:tc>
        <w:tc>
          <w:tcPr>
            <w:tcW w:w="758" w:type="pct"/>
            <w:vAlign w:val="center"/>
          </w:tcPr>
          <w:p w14:paraId="24454B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4F07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044F0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17</w:t>
            </w:r>
          </w:p>
        </w:tc>
        <w:tc>
          <w:tcPr>
            <w:tcW w:w="1873" w:type="pct"/>
            <w:vAlign w:val="center"/>
          </w:tcPr>
          <w:p w14:paraId="23102B9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免疫治疗后接受放疗的肺癌患者放射性肺炎的危险因素研究</w:t>
            </w:r>
          </w:p>
        </w:tc>
        <w:tc>
          <w:tcPr>
            <w:tcW w:w="1321" w:type="pct"/>
            <w:vAlign w:val="center"/>
          </w:tcPr>
          <w:p w14:paraId="0C844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徐州市肿瘤医院</w:t>
            </w:r>
          </w:p>
        </w:tc>
        <w:tc>
          <w:tcPr>
            <w:tcW w:w="600" w:type="pct"/>
            <w:vAlign w:val="center"/>
          </w:tcPr>
          <w:p w14:paraId="16BA53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仝少冬</w:t>
            </w:r>
          </w:p>
        </w:tc>
        <w:tc>
          <w:tcPr>
            <w:tcW w:w="758" w:type="pct"/>
            <w:vAlign w:val="center"/>
          </w:tcPr>
          <w:p w14:paraId="301194E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r w14:paraId="264A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2DB9267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18</w:t>
            </w:r>
          </w:p>
        </w:tc>
        <w:tc>
          <w:tcPr>
            <w:tcW w:w="1873" w:type="pct"/>
            <w:vAlign w:val="center"/>
          </w:tcPr>
          <w:p w14:paraId="32EEC5E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基于CT影像组学诺模图预测胃肠道间质瘤Ki-67表达水平及预后</w:t>
            </w:r>
          </w:p>
        </w:tc>
        <w:tc>
          <w:tcPr>
            <w:tcW w:w="1321" w:type="pct"/>
            <w:vAlign w:val="center"/>
          </w:tcPr>
          <w:p w14:paraId="587CC03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南京市第一医院</w:t>
            </w:r>
          </w:p>
        </w:tc>
        <w:tc>
          <w:tcPr>
            <w:tcW w:w="600" w:type="pct"/>
            <w:vAlign w:val="center"/>
          </w:tcPr>
          <w:p w14:paraId="552D94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唐波</w:t>
            </w:r>
          </w:p>
        </w:tc>
        <w:tc>
          <w:tcPr>
            <w:tcW w:w="758" w:type="pct"/>
            <w:vAlign w:val="center"/>
          </w:tcPr>
          <w:p w14:paraId="4E73490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pPr>
            <w:r>
              <w:rPr>
                <w:rFonts w:hint="eastAsia" w:ascii="仿宋" w:hAnsi="仿宋" w:eastAsia="仿宋" w:cs="仿宋"/>
                <w:b w:val="0"/>
                <w:bCs w:val="0"/>
                <w:i w:val="0"/>
                <w:iCs w:val="0"/>
                <w:caps w:val="0"/>
                <w:color w:val="000000"/>
                <w:spacing w:val="0"/>
                <w:kern w:val="0"/>
                <w:sz w:val="28"/>
                <w:szCs w:val="28"/>
                <w:shd w:val="clear" w:fill="FFFFFF"/>
                <w:vertAlign w:val="baseline"/>
                <w:lang w:val="en-US" w:eastAsia="zh-CN" w:bidi="ar"/>
              </w:rPr>
              <w:t>青年项目</w:t>
            </w:r>
          </w:p>
        </w:tc>
      </w:tr>
    </w:tbl>
    <w:p w14:paraId="7BEC9FA0">
      <w:pPr>
        <w:ind w:firstLine="1600" w:firstLineChars="500"/>
        <w:rPr>
          <w:rFonts w:hint="eastAsia" w:ascii="仿宋" w:hAnsi="仿宋" w:eastAsia="仿宋" w:cs="仿宋"/>
          <w:b w:val="0"/>
          <w:bCs w:val="0"/>
          <w:i w:val="0"/>
          <w:iCs w:val="0"/>
          <w:caps w:val="0"/>
          <w:color w:val="000000"/>
          <w:spacing w:val="0"/>
          <w:kern w:val="0"/>
          <w:sz w:val="32"/>
          <w:szCs w:val="32"/>
          <w:shd w:val="clear" w:fill="FFFFFF"/>
          <w:vertAlign w:val="baseline"/>
          <w:lang w:val="en-US" w:eastAsia="zh-CN" w:bidi="ar"/>
        </w:rPr>
      </w:pPr>
    </w:p>
    <w:p w14:paraId="0ABCAEC5">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73EA092-B5D8-40E0-A12C-1D85EEE833C1}"/>
  </w:font>
  <w:font w:name="仿宋">
    <w:panose1 w:val="02010609060101010101"/>
    <w:charset w:val="86"/>
    <w:family w:val="auto"/>
    <w:pitch w:val="default"/>
    <w:sig w:usb0="800002BF" w:usb1="38CF7CFA" w:usb2="00000016" w:usb3="00000000" w:csb0="00040001" w:csb1="00000000"/>
    <w:embedRegular r:id="rId2" w:fontKey="{D8335186-8D66-4443-A88D-53398B701883}"/>
  </w:font>
  <w:font w:name="方正小标宋_GBK">
    <w:panose1 w:val="02000000000000000000"/>
    <w:charset w:val="86"/>
    <w:family w:val="auto"/>
    <w:pitch w:val="default"/>
    <w:sig w:usb0="00000001" w:usb1="080E0000" w:usb2="00000000" w:usb3="00000000" w:csb0="00040000" w:csb1="00000000"/>
    <w:embedRegular r:id="rId3" w:fontKey="{7D243A23-7D8D-44FE-A354-D4ADBD4E19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F5806"/>
    <w:rsid w:val="599F5806"/>
    <w:rsid w:val="5D3C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2026-02-09T03:23:00Z</dcterms:created>
  <dc:creator>江苏省抗癌协会</dc:creator>
  <cp:lastModifiedBy>江苏省抗癌协会</cp:lastModifiedBy>
  <dcterms:modified xsi:type="dcterms:W3CDTF">2026-02-09T03:24:07Z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18E32BAB0FAD46D98F3476E81E11AB23_11</vt:lpwstr>
  </property>
  <property fmtid="{D5CDD505-2E9C-101B-9397-08002B2CF9AE}" pid="4" name="KSOTemplateDocerSaveRecord">
    <vt:lpwstr>eyJoZGlkIjoiZWFhNjRiOGRmYzQyNjZkMTdlNjJmOGRkZjQ1M2E1NDAiLCJ1c2VySWQiOiI0NjQ1ODA4MjAifQ==</vt:lpwstr>
  </property>
</Properties>
</file>